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57B" w:rsidRDefault="0049457B">
      <w:bookmarkStart w:id="0" w:name="_GoBack"/>
      <w:bookmarkEnd w:id="0"/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</wp:posOffset>
                </wp:positionH>
                <wp:positionV relativeFrom="paragraph">
                  <wp:posOffset>0</wp:posOffset>
                </wp:positionV>
                <wp:extent cx="5943600" cy="838200"/>
                <wp:effectExtent l="0" t="0" r="19050" b="1905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8382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457B" w:rsidRPr="0049457B" w:rsidRDefault="0049457B" w:rsidP="0049457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9457B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Bassetlaw Primary Behaviour Partnership</w:t>
                            </w:r>
                          </w:p>
                          <w:p w:rsidR="0049457B" w:rsidRPr="0049457B" w:rsidRDefault="0049457B" w:rsidP="0049457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  <w:r w:rsidRPr="0049457B">
                              <w:rPr>
                                <w:b/>
                                <w:color w:val="000000" w:themeColor="text1"/>
                                <w:sz w:val="32"/>
                                <w:szCs w:val="32"/>
                              </w:rPr>
                              <w:t>Guidance for referring to PBAP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style="position:absolute;margin-left:4.5pt;margin-top:0;width:468pt;height:6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" fillcolor="#d8d8d8 [2732]" strokecolor="black [3213]" strokeweight="2pt">
                <v:textbox>
                  <w:txbxContent>
                    <w:p w:rsidR="0049457B" w:rsidRPr="0049457B" w:rsidRDefault="0049457B" w:rsidP="0049457B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49457B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Bassetlaw Primary Behaviour Partnership</w:t>
                      </w:r>
                    </w:p>
                    <w:p w:rsidR="0049457B" w:rsidRPr="0049457B" w:rsidRDefault="0049457B" w:rsidP="0049457B">
                      <w:pPr>
                        <w:jc w:val="center"/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</w:pPr>
                      <w:r w:rsidRPr="0049457B">
                        <w:rPr>
                          <w:b/>
                          <w:color w:val="000000" w:themeColor="text1"/>
                          <w:sz w:val="32"/>
                          <w:szCs w:val="32"/>
                        </w:rPr>
                        <w:t>Guidance for referring to PBAP</w:t>
                      </w:r>
                    </w:p>
                  </w:txbxContent>
                </v:textbox>
              </v:roundrect>
            </w:pict>
          </mc:Fallback>
        </mc:AlternateContent>
      </w:r>
    </w:p>
    <w:p w:rsidR="0049457B" w:rsidRPr="0049457B" w:rsidRDefault="0049457B" w:rsidP="0049457B"/>
    <w:p w:rsidR="0049457B" w:rsidRPr="0049457B" w:rsidRDefault="0049457B" w:rsidP="0049457B"/>
    <w:p w:rsidR="0049457B" w:rsidRDefault="0049457B" w:rsidP="0049457B"/>
    <w:p w:rsidR="00D944CC" w:rsidRPr="00D944CC" w:rsidRDefault="00D944CC" w:rsidP="0049457B">
      <w:pPr>
        <w:rPr>
          <w:b/>
          <w:sz w:val="28"/>
          <w:szCs w:val="28"/>
          <w:u w:val="single"/>
        </w:rPr>
      </w:pPr>
      <w:r w:rsidRPr="00D944CC">
        <w:rPr>
          <w:b/>
          <w:sz w:val="28"/>
          <w:szCs w:val="28"/>
          <w:u w:val="single"/>
        </w:rPr>
        <w:t>School Level</w:t>
      </w:r>
    </w:p>
    <w:p w:rsidR="00005D64" w:rsidRDefault="00526092" w:rsidP="0049457B">
      <w:r>
        <w:t>Before bringing a child to the panel, there is an expectation that in most cases the following will have been done:</w:t>
      </w:r>
    </w:p>
    <w:p w:rsidR="00526092" w:rsidRPr="00526092" w:rsidRDefault="00526092" w:rsidP="0049457B">
      <w:pPr>
        <w:rPr>
          <w:b/>
        </w:rPr>
      </w:pPr>
      <w:r w:rsidRPr="00526092">
        <w:rPr>
          <w:b/>
        </w:rPr>
        <w:t>Class Teacher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Schools behaviour policy has been adapted to meet the needs of individual children.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Environment audit has been completed, strategies implemented from outcome of the audit and time has been given to embed any changes.</w:t>
      </w:r>
    </w:p>
    <w:p w:rsidR="00526092" w:rsidRPr="00526092" w:rsidRDefault="00526092" w:rsidP="00526092">
      <w:pPr>
        <w:rPr>
          <w:b/>
        </w:rPr>
      </w:pPr>
      <w:r w:rsidRPr="00526092">
        <w:rPr>
          <w:b/>
        </w:rPr>
        <w:t>SENCO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Boxall profile and strategies have been explored.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Parents and child are involved in developing a behaviour plan.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Assessment tool in the Graduated Response doc has been completed and strategies implemented.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Provision maps, emotional literacy and all staff are aware of individual’s adjustments and needs.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Contact Family SENCO for advice and support.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Child will be known at Springboard.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AFN funding will have been applied for and utilised to meet the child’s needs.</w:t>
      </w:r>
    </w:p>
    <w:p w:rsidR="00526092" w:rsidRDefault="00526092" w:rsidP="00526092">
      <w:pPr>
        <w:pStyle w:val="ListParagraph"/>
        <w:numPr>
          <w:ilvl w:val="0"/>
          <w:numId w:val="1"/>
        </w:numPr>
      </w:pPr>
      <w:r>
        <w:t>Referral to PSED team.</w:t>
      </w:r>
    </w:p>
    <w:p w:rsidR="00526092" w:rsidRDefault="00526092" w:rsidP="00526092">
      <w:pPr>
        <w:rPr>
          <w:b/>
          <w:sz w:val="28"/>
          <w:szCs w:val="28"/>
          <w:u w:val="single"/>
        </w:rPr>
      </w:pPr>
      <w:r w:rsidRPr="00D944CC">
        <w:rPr>
          <w:b/>
          <w:sz w:val="28"/>
          <w:szCs w:val="28"/>
          <w:u w:val="single"/>
        </w:rPr>
        <w:t>PBAP</w:t>
      </w:r>
    </w:p>
    <w:p w:rsidR="00D944CC" w:rsidRDefault="006058D1" w:rsidP="00526092">
      <w:r>
        <w:t>The SENCO from the school that the child attends will attend the PBAP with their Family SENCO. The following documentation will be required:</w:t>
      </w:r>
    </w:p>
    <w:p w:rsidR="006058D1" w:rsidRDefault="006058D1" w:rsidP="006058D1">
      <w:pPr>
        <w:pStyle w:val="ListParagraph"/>
        <w:numPr>
          <w:ilvl w:val="0"/>
          <w:numId w:val="2"/>
        </w:numPr>
      </w:pPr>
      <w:r>
        <w:t xml:space="preserve">PBAP referral form with any supporting evidence </w:t>
      </w:r>
      <w:proofErr w:type="spellStart"/>
      <w:proofErr w:type="gramStart"/>
      <w:r>
        <w:t>eg</w:t>
      </w:r>
      <w:proofErr w:type="spellEnd"/>
      <w:r>
        <w:t xml:space="preserve">  Boxall</w:t>
      </w:r>
      <w:proofErr w:type="gramEnd"/>
      <w:r>
        <w:t xml:space="preserve"> information,  The Graduated Response assessment tool. Much of the information needed on the referral form can be taken from the AFN funding request.</w:t>
      </w:r>
    </w:p>
    <w:p w:rsidR="006058D1" w:rsidRDefault="006058D1" w:rsidP="006058D1">
      <w:pPr>
        <w:pStyle w:val="ListParagraph"/>
        <w:numPr>
          <w:ilvl w:val="0"/>
          <w:numId w:val="2"/>
        </w:numPr>
      </w:pPr>
      <w:r>
        <w:t>Parental consent form</w:t>
      </w:r>
    </w:p>
    <w:p w:rsidR="006058D1" w:rsidRPr="006058D1" w:rsidRDefault="006058D1" w:rsidP="006058D1">
      <w:r>
        <w:t xml:space="preserve">A discussion will take place and an action drawn up. If the actions suggested have no </w:t>
      </w:r>
      <w:proofErr w:type="gramStart"/>
      <w:r>
        <w:t>impact</w:t>
      </w:r>
      <w:proofErr w:type="gramEnd"/>
      <w:r>
        <w:t xml:space="preserve"> then it will be expected that they be brought back to the nex</w:t>
      </w:r>
      <w:r w:rsidR="009B4E9D">
        <w:t xml:space="preserve">t meeting. If the actions have the desired </w:t>
      </w:r>
      <w:proofErr w:type="gramStart"/>
      <w:r w:rsidR="009B4E9D">
        <w:t>impact</w:t>
      </w:r>
      <w:proofErr w:type="gramEnd"/>
      <w:r>
        <w:t xml:space="preserve"> then the Family SENCO can feed</w:t>
      </w:r>
      <w:r w:rsidR="009B4E9D">
        <w:t xml:space="preserve"> </w:t>
      </w:r>
      <w:r>
        <w:t>back at the next PBAP.</w:t>
      </w:r>
    </w:p>
    <w:p w:rsidR="00D944CC" w:rsidRPr="00D944CC" w:rsidRDefault="00D944CC" w:rsidP="00526092">
      <w:pPr>
        <w:rPr>
          <w:b/>
          <w:sz w:val="28"/>
          <w:szCs w:val="28"/>
          <w:u w:val="single"/>
        </w:rPr>
      </w:pPr>
    </w:p>
    <w:sectPr w:rsidR="00D944CC" w:rsidRPr="00D944CC" w:rsidSect="0049457B">
      <w:pgSz w:w="11906" w:h="16838"/>
      <w:pgMar w:top="1440" w:right="1440" w:bottom="1440" w:left="1440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A7A95"/>
    <w:multiLevelType w:val="hybridMultilevel"/>
    <w:tmpl w:val="D2FCC9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FA6997"/>
    <w:multiLevelType w:val="hybridMultilevel"/>
    <w:tmpl w:val="0F7C64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57B"/>
    <w:rsid w:val="00005D64"/>
    <w:rsid w:val="003500FB"/>
    <w:rsid w:val="003F1226"/>
    <w:rsid w:val="0049457B"/>
    <w:rsid w:val="00526092"/>
    <w:rsid w:val="006058D1"/>
    <w:rsid w:val="009401E4"/>
    <w:rsid w:val="009B4E9D"/>
    <w:rsid w:val="00D74D5C"/>
    <w:rsid w:val="00D94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EDE9100-DD08-47C3-A38D-0E4CB1C43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45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45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260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Clare Hibbert</dc:creator>
  <cp:lastModifiedBy>ALilley</cp:lastModifiedBy>
  <cp:revision>2</cp:revision>
  <dcterms:created xsi:type="dcterms:W3CDTF">2021-06-24T09:09:00Z</dcterms:created>
  <dcterms:modified xsi:type="dcterms:W3CDTF">2021-06-24T09:09:00Z</dcterms:modified>
</cp:coreProperties>
</file>