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Principal's Summary Report: Permanent Exclusion (Template)</w:t>
      </w:r>
    </w:p>
    <w:p>
      <w:pPr/>
      <w:r>
        <w:rPr>
          <w:b/>
        </w:rPr>
        <w:t xml:space="preserve">Confidential.</w:t>
      </w:r>
      <w:r>
        <w:t xml:space="preserve"> This report goes to the governor panel and to parents/carers before the meeting. Complete every field in [square brackets] and delete the guidance notes in italics before circulating.</w:t>
      </w:r>
    </w:p>
    <w:p>
      <w:pPr/>
      <w:r>
        <w:rPr>
          <w:i/>
        </w:rPr>
        <w:t xml:space="preserve">Anonymity: refer to the pupil as "Pupil A" and to other pupils and staff by role or letter (Pupil B, Adult 1). Redact names in all appendices. Do not name the school, trust or local authority anywhere in the pack.</w:t>
      </w:r>
    </w:p>
    <w:tbl>
      <w:tblPr>
        <w:tblStyle w:val="TableGrid"/>
        <w:tblW w:w="0" w:type="auto"/>
        <w:tblLayout w:type="fixed"/>
        <w:tblLook w:val="04A0" w:firstRow="1" w:lastRow="0" w:firstColumn="0" w:lastColumn="0" w:noHBand="0" w:noVBand="1"/>
      </w:tblPr>
      <w:tblGrid>
        <w:gridCol w:w="5592"/>
        <w:gridCol w:w="3767"/>
      </w:tblGrid>
      <w:tr>
        <w:trPr>
          <w:tblHeader/>
        </w:trPr>
        <w:tc>
          <w:tcPr>
            <w:tcW w:w="5592" w:type="dxa"/>
            <w:shd w:val="clear" w:color="auto" w:fill="F2F2F2"/>
          </w:tcPr>
          <w:p>
            <w:pPr/>
            <w:r>
              <w:t xml:space="preserve">Item</w:t>
            </w:r>
          </w:p>
        </w:tc>
        <w:tc>
          <w:tcPr>
            <w:tcW w:w="3767" w:type="dxa"/>
            <w:shd w:val="clear" w:color="auto" w:fill="F2F2F2"/>
          </w:tcPr>
          <w:p>
            <w:pPr/>
            <w:r>
              <w:t xml:space="preserve">Detail</w:t>
            </w:r>
          </w:p>
        </w:tc>
      </w:tr>
      <w:tr>
        <w:tc>
          <w:tcPr>
            <w:tcW w:w="5592" w:type="dxa"/>
          </w:tcPr>
          <w:p>
            <w:pPr/>
            <w:r>
              <w:t xml:space="preserve">Pupil</w:t>
            </w:r>
          </w:p>
        </w:tc>
        <w:tc>
          <w:tcPr>
            <w:tcW w:w="3767" w:type="dxa"/>
          </w:tcPr>
          <w:p>
            <w:pPr/>
            <w:r>
              <w:t xml:space="preserve">Pupil A</w:t>
            </w:r>
          </w:p>
        </w:tc>
      </w:tr>
      <w:tr>
        <w:tc>
          <w:tcPr>
            <w:tcW w:w="5592" w:type="dxa"/>
          </w:tcPr>
          <w:p>
            <w:pPr/>
            <w:r>
              <w:t xml:space="preserve">Year group</w:t>
            </w:r>
          </w:p>
        </w:tc>
        <w:tc>
          <w:tcPr>
            <w:tcW w:w="3767" w:type="dxa"/>
          </w:tcPr>
          <w:p>
            <w:pPr/>
            <w:r>
              <w:t xml:space="preserve">[Year X]</w:t>
            </w:r>
          </w:p>
        </w:tc>
      </w:tr>
      <w:tr>
        <w:tc>
          <w:tcPr>
            <w:tcW w:w="5592" w:type="dxa"/>
          </w:tcPr>
          <w:p>
            <w:pPr/>
            <w:r>
              <w:t xml:space="preserve">Date of permanent exclusion</w:t>
            </w:r>
          </w:p>
        </w:tc>
        <w:tc>
          <w:tcPr>
            <w:tcW w:w="3767" w:type="dxa"/>
          </w:tcPr>
          <w:p>
            <w:pPr/>
            <w:r>
              <w:t xml:space="preserve">[DD/MM/YYYY]</w:t>
            </w:r>
          </w:p>
        </w:tc>
      </w:tr>
      <w:tr>
        <w:tc>
          <w:tcPr>
            <w:tcW w:w="5592" w:type="dxa"/>
          </w:tcPr>
          <w:p>
            <w:pPr/>
            <w:r>
              <w:t xml:space="preserve">Date and time of governor meeting</w:t>
            </w:r>
          </w:p>
        </w:tc>
        <w:tc>
          <w:tcPr>
            <w:tcW w:w="3767" w:type="dxa"/>
          </w:tcPr>
          <w:p>
            <w:pPr/>
            <w:r>
              <w:t xml:space="preserve">[DD/MM/YYYY, HH:MM]</w:t>
            </w:r>
          </w:p>
        </w:tc>
      </w:tr>
      <w:tr>
        <w:tc>
          <w:tcPr>
            <w:tcW w:w="5592" w:type="dxa"/>
          </w:tcPr>
          <w:p>
            <w:pPr/>
            <w:r>
              <w:t xml:space="preserve">Meeting format</w:t>
            </w:r>
          </w:p>
        </w:tc>
        <w:tc>
          <w:tcPr>
            <w:tcW w:w="3767" w:type="dxa"/>
          </w:tcPr>
          <w:p>
            <w:pPr/>
            <w:r>
              <w:t xml:space="preserve">[In person / remote / hybrid]</w:t>
            </w:r>
          </w:p>
        </w:tc>
      </w:tr>
      <w:tr>
        <w:tc>
          <w:tcPr>
            <w:tcW w:w="5592" w:type="dxa"/>
          </w:tcPr>
          <w:p>
            <w:pPr/>
            <w:r>
              <w:t xml:space="preserve">Report prepared by</w:t>
            </w:r>
          </w:p>
        </w:tc>
        <w:tc>
          <w:tcPr>
            <w:tcW w:w="3767" w:type="dxa"/>
          </w:tcPr>
          <w:p>
            <w:pPr/>
            <w:r>
              <w:t xml:space="preserve">Principal</w:t>
            </w:r>
          </w:p>
        </w:tc>
      </w:tr>
      <w:tr>
        <w:tc>
          <w:tcPr>
            <w:tcW w:w="5592" w:type="dxa"/>
          </w:tcPr>
          <w:p>
            <w:pPr/>
            <w:r>
              <w:t xml:space="preserve">Date report sent to parents/carers and panel</w:t>
            </w:r>
          </w:p>
        </w:tc>
        <w:tc>
          <w:tcPr>
            <w:tcW w:w="3767" w:type="dxa"/>
          </w:tcPr>
          <w:p>
            <w:pPr/>
            <w:r>
              <w:t xml:space="preserve">[DD/MM/YYYY]</w:t>
            </w:r>
          </w:p>
        </w:tc>
      </w:tr>
    </w:tbl>
    <w:p>
      <w:pPr>
        <w:pStyle w:val="Heading2"/>
      </w:pPr>
      <w:r>
        <w:t xml:space="preserve">1. Purpose of this report</w:t>
      </w:r>
    </w:p>
    <w:p>
      <w:pPr/>
      <w:r>
        <w:t xml:space="preserve">On [date] I permanently excluded Pupil A. This report sets out the evidence and reasoning behind that decision, and asks the panel to uphold it.</w:t>
      </w:r>
    </w:p>
    <w:p>
      <w:pPr/>
      <w:r>
        <w:t xml:space="preserve">I made the decision to protect the safety and wellbeing of pupils and staff. I applied the civil standard of proof: on the balance of probabilities, Pupil A did what is described in section 4.</w:t>
      </w:r>
    </w:p>
    <w:p>
      <w:pPr>
        <w:pStyle w:val="Heading2"/>
      </w:pPr>
      <w:r>
        <w:t xml:space="preserve">2. Legal and guidance framework</w:t>
      </w:r>
    </w:p>
    <w:p>
      <w:pPr/>
      <w:r>
        <w:t xml:space="preserve">I followed the DfE statutory guidance </w:t>
      </w:r>
      <w:r>
        <w:rPr>
          <w:i/>
        </w:rPr>
        <w:t xml:space="preserve">Suspension and permanent exclusion from maintained schools, academies and pupil referral units in England, including pupil movement</w:t>
      </w:r>
      <w:r>
        <w:t xml:space="preserve">, in force from 26 July 2026. I also had regard to </w:t>
      </w:r>
      <w:r>
        <w:rPr>
          <w:i/>
        </w:rPr>
        <w:t xml:space="preserve">Behaviour in Schools</w:t>
      </w:r>
      <w:r>
        <w:t xml:space="preserve"> and to the local authority's exclusions guidance.</w:t>
      </w:r>
    </w:p>
    <w:p>
      <w:pPr/>
      <w:r>
        <w:t xml:space="preserve">The guidance states that permanent exclusion should only be used as a last resort, and only:</w:t>
      </w:r>
    </w:p>
    <w:p>
      <w:pPr>
        <w:pStyle w:val="ListParagraph"/>
        <w:numPr>
          <w:ilvl w:val="0"/>
          <w:numId w:val="2"/>
        </w:numPr>
      </w:pPr>
      <w:r>
        <w:t xml:space="preserve">in response to a serious breach or persistent breaches of the school's behaviour policy; and</w:t>
      </w:r>
    </w:p>
    <w:p>
      <w:pPr>
        <w:pStyle w:val="ListParagraph"/>
        <w:numPr>
          <w:ilvl w:val="0"/>
          <w:numId w:val="2"/>
        </w:numPr>
      </w:pPr>
      <w:r>
        <w:t xml:space="preserve">where allowing the pupil to remain in school would seriously harm the education or welfare of the pupil or others, such as staff or pupils.</w:t>
      </w:r>
    </w:p>
    <w:p>
      <w:pPr/>
      <w:r>
        <w:t xml:space="preserve">I also considered the school's duties under the Equality Act 2010, the Children and Families Act 2014 and the SEND Code of Practice, and </w:t>
      </w:r>
      <w:r>
        <w:rPr>
          <w:i/>
        </w:rPr>
        <w:t xml:space="preserve">Keeping Children Safe in Education</w:t>
      </w:r>
      <w:r>
        <w:t xml:space="preserv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Principal's Summary Report Permanent Exclusion (Template)</dc:title>
  <dc:description>Claude Docs node/b55fd1c9-4f8b@4 docx-w7</dc:description>
  <cp:revision>4</cp:revision>
</cp:coreProperties>
</file>